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4236" w14:textId="77777777" w:rsidR="00B61A0F" w:rsidRDefault="003240C3">
      <w:pPr>
        <w:overflowPunct w:val="0"/>
        <w:topLinePunct/>
        <w:spacing w:line="60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 w:cs="黑体"/>
        </w:rPr>
        <w:t>附件</w:t>
      </w:r>
      <w:r>
        <w:rPr>
          <w:rFonts w:ascii="Times New Roman" w:eastAsia="黑体" w:hAnsi="Times New Roman" w:cs="黑体" w:hint="eastAsia"/>
        </w:rPr>
        <w:t>1</w:t>
      </w:r>
    </w:p>
    <w:p w14:paraId="1F5ED14F" w14:textId="77777777" w:rsidR="00B61A0F" w:rsidRDefault="00B61A0F">
      <w:pPr>
        <w:overflowPunct w:val="0"/>
        <w:topLinePunct/>
        <w:spacing w:line="480" w:lineRule="exact"/>
        <w:rPr>
          <w:rFonts w:ascii="Times New Roman" w:hAnsi="Times New Roman"/>
        </w:rPr>
      </w:pPr>
    </w:p>
    <w:p w14:paraId="13908650" w14:textId="77777777" w:rsidR="00B61A0F" w:rsidRDefault="003240C3">
      <w:pPr>
        <w:overflowPunct w:val="0"/>
        <w:topLinePunct/>
        <w:spacing w:line="600" w:lineRule="exact"/>
        <w:jc w:val="center"/>
        <w:rPr>
          <w:rFonts w:ascii="Times New Roman" w:eastAsia="方正小标宋简体" w:hAnsi="Times New Roman" w:cs="方正小标宋简体"/>
          <w:sz w:val="44"/>
        </w:rPr>
      </w:pPr>
      <w:r>
        <w:rPr>
          <w:rFonts w:ascii="Times New Roman" w:eastAsia="方正小标宋简体" w:hAnsi="Times New Roman" w:cs="方正小标宋简体" w:hint="eastAsia"/>
          <w:sz w:val="44"/>
        </w:rPr>
        <w:t>第十三、十四批通过</w:t>
      </w:r>
      <w:r>
        <w:rPr>
          <w:rFonts w:ascii="Times New Roman" w:eastAsia="方正小标宋简体" w:hAnsi="Times New Roman" w:cs="方正小标宋简体"/>
          <w:sz w:val="44"/>
        </w:rPr>
        <w:t>绩效评级企业名单</w:t>
      </w:r>
    </w:p>
    <w:p w14:paraId="2A7D70E6" w14:textId="77777777" w:rsidR="00B61A0F" w:rsidRDefault="00B61A0F">
      <w:pPr>
        <w:overflowPunct w:val="0"/>
        <w:topLinePunct/>
        <w:spacing w:line="600" w:lineRule="exact"/>
        <w:jc w:val="center"/>
        <w:rPr>
          <w:rFonts w:ascii="Times New Roman" w:eastAsia="方正小标宋简体" w:hAnsi="Times New Roman" w:cs="方正小标宋简体"/>
          <w:sz w:val="44"/>
        </w:rPr>
      </w:pPr>
    </w:p>
    <w:tbl>
      <w:tblPr>
        <w:tblW w:w="5141" w:type="pct"/>
        <w:jc w:val="center"/>
        <w:tblCellMar>
          <w:left w:w="17" w:type="dxa"/>
          <w:right w:w="17" w:type="dxa"/>
        </w:tblCellMar>
        <w:tblLook w:val="04A0" w:firstRow="1" w:lastRow="0" w:firstColumn="1" w:lastColumn="0" w:noHBand="0" w:noVBand="1"/>
        <w:tblCaption w:val="Table25mb"/>
      </w:tblPr>
      <w:tblGrid>
        <w:gridCol w:w="481"/>
        <w:gridCol w:w="679"/>
        <w:gridCol w:w="2754"/>
        <w:gridCol w:w="1876"/>
        <w:gridCol w:w="2265"/>
        <w:gridCol w:w="1028"/>
      </w:tblGrid>
      <w:tr w:rsidR="00B61A0F" w14:paraId="538995AE" w14:textId="77777777">
        <w:trPr>
          <w:trHeight w:val="409"/>
          <w:tblHeader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0E6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007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城市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A5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20C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重点行业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DA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行业分支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499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管控</w:t>
            </w:r>
          </w:p>
          <w:p w14:paraId="3B6602E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黑体"/>
                <w:sz w:val="22"/>
                <w:szCs w:val="2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2"/>
                <w:szCs w:val="22"/>
                <w:lang w:bidi="ar"/>
              </w:rPr>
              <w:t>类型</w:t>
            </w:r>
          </w:p>
        </w:tc>
      </w:tr>
      <w:tr w:rsidR="00B61A0F" w14:paraId="0C151980" w14:textId="77777777">
        <w:trPr>
          <w:trHeight w:val="49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01E8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3DF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2E0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成都天马微电子有限公司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96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17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02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7B16FD8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FF28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0E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A19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成都京东方光电科技有限公司（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E2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E40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C6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00DEBD01" w14:textId="77777777">
        <w:trPr>
          <w:trHeight w:val="57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BB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11A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1C9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成都冶金实验厂有限公司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CBE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45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07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2567AED5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576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D8F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382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浙江吉利汽车有限公司成都分公司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0C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汽车整车制造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3B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汽车整车制造工业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A66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5D409C5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E1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F0D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EAE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成都青山利康药业股份有限公司双流分公司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AE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BD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0E9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4CD70F8C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141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B52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79D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自贡泰威尔阀门制造有限公司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9FB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5C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钢结构制造工业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D1B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70B335E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5A0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B00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56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珈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钠新材料科技有限公司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1BA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642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22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06A636B5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90D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90C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BC3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四川泸科源包装科技有限公司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84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C8D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7B4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4FB276A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D694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03D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2A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四川泸科源包装科技有限公司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54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4F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68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019D8A0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E126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9B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FC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泸州老窖股份有限公司（罗汉酿酒生态园）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E26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B65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572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34CDA5D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5A7E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35F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广元市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28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广元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中孚高精铝材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31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电解铝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2B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电解铝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32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59EF6DA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C2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3E4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47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四川富乐华半导体科技有限公司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2CC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F06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AF2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04F61F93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EE31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6B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BDE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宜宾锂宝新材料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98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2EB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298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49072F44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03B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A85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430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特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驱饲料有限公司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68D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B92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9D0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64761F9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D1F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4B2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达州市</w:t>
            </w:r>
            <w:proofErr w:type="gramEnd"/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30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四川德润钢铁集团航达钢铁有限责任公司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1D9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6E9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7CC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59FA9D00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76F6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74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0C4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雅保四川新材料有限公司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21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52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38D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B61A0F" w14:paraId="05A96261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5E89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79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3C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成都光明光电股份有限公司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A14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328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4A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8D9861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FD1E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046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C48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四川都钢钢铁集团股份有限公司（都江堰市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583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63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66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E598E91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A723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12A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8C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成都康力电梯有限公司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136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工程机械整机制造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76CA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工程机械整机制造业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FD6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A7D25D9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405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55F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C0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北汽模塑科技（成都）有限公司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5B2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5F0E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2EE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AFC50B6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B0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40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FF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成都卡诺普机器人技术股份有限公司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36D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420D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5F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567080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581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566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AA9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四川彭州众鑫冶业有限公司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AC9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金属表面处理及热处理加工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B0B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金属表面处理及热处理加工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43F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5F060C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69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E4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6E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成都城投市政机械化施工有限公司（原名：成都市市政开发总公司机械化施工公司）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213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沥青混合料搅拌站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21E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沥青混合料搅拌站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D22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9327572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DDC7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3B6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18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地奥集团成都药业股份有限公司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61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40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EB3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9C0228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0443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0B5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075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成都虹波实业股份有限公司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BD6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41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90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011260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8C8D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C4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D89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成都大唐线缆有限公司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4A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79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6B8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4FA5AA3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D26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009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AB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成都五芳斋食品有限公司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D5E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99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504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FABA71F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EFB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3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0FE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BA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四川奥克化学有限公司</w:t>
            </w:r>
          </w:p>
        </w:tc>
        <w:tc>
          <w:tcPr>
            <w:tcW w:w="10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DF8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有机化工</w:t>
            </w:r>
          </w:p>
        </w:tc>
        <w:tc>
          <w:tcPr>
            <w:tcW w:w="1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1C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有机化工</w:t>
            </w:r>
          </w:p>
        </w:tc>
        <w:tc>
          <w:tcPr>
            <w:tcW w:w="5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23C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F4694B1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31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0B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680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都江堰市家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磊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新型建筑材料厂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A2F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CA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烧结砖瓦制品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F27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843FE18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33A9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A3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985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成都市红汇建材有限公司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0D2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AE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烧结砖瓦制品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424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46DC44F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7E54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2A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F8E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四川省邛崃市宏林砖厂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977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C3C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烧结砖瓦制品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BC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0EC00A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058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1A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BEF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崇州市万家煤矸石机砖厂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C5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E3E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B6F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978DD8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58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DCF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ED2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邛崃市回龙镇榆树砖厂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F4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90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F0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C09010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B9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54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40C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自贡众信包装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印务有限公司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84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781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7A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40180B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A51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A65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22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美华彩色包装有限公司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5C6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50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金属包装印刷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46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E281B7E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F7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CE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ED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自贡海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川龙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景科技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8A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BD1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A8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CADB587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365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3A5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C8F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自贡市新纪元恐龙景观制作有限公司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74E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BA5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FE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AB58CE8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F2E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7EE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28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四川玖固钢构制造有限公司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0B4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0E6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钢结构制造工业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DC2C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AB9C0A7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607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B52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FDB9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自贡交发重交再生新材料有限公司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B0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沥青混合料搅拌站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A2A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沥青混合料搅拌站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CF9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143578F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969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FD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F3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自贡市金典化工有限公司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936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9A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85B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353BE50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C48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E54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A3C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自贡永汇食品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A7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AE5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4C3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A24B6C2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BED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AF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AB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自贡市莲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香食品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62C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3D6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2D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4A66B80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4076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7C2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51C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自贡毅联食品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5F2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EC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1C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8EBA181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6EF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57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FC9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四川省鼎得利预制菜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酱业食品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BF9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ED2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12C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8AF132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AE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E4E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CC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四川蜀八秒食品有限公司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BE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8F6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8EE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4F98E87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93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5C5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9EF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四川香之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道食品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2AA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FA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0B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7CC9EC3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90A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5F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CC9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四川易品食品有限公司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7B0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630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1F4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395679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930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48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4F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5D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四川中薯川派食品有限公司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CE6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F8A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75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7E72A98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48A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72B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B8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千般就食品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565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1E2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8FD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E99C91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AEC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26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2E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自贡川旺盐帮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小子食品有限公司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B56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5F4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2B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8171103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4C9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EC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577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泸州新品创包装有限公司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675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53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7A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CF24C92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971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9ED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E63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泸州益和纸品包装有限公司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6C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DE8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48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C159A0A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0630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72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C2B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古蔺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县润锋发展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E0B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5D7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AD6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D1614C6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3A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0F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502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泸州宏太阳包装有限公司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AF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D79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AAC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4DCF92E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C0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0C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B53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泸州意永诚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EB1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22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C11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6B98B81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162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AC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FA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泸州富立包装有限公司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559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2A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7E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15BA983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9A35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CF5E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BE4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泸州宏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042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71B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E38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FF353E5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C1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028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CB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美捷印务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6A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B49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9E1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20EA9B8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22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E00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46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泸州顺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达齐印务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B60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7CC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1F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9FEEA2A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1DE0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D2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FD5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泸州飘香包装印刷有限公司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606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23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2A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C254838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A096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6EF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E7C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四川大胜达中飞包装科技有限公司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76D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02D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6E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005ADF7" w14:textId="77777777">
        <w:trPr>
          <w:trHeight w:val="28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0817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3BB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EA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泸州市海川印铁包装有限公司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663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2E9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0BD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25C89CE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FB06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1B5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C47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四川泸州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丽鹏制盖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2B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FD9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0D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937B3DA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632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64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95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856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泸州亚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庆印业有限公司</w:t>
            </w:r>
            <w:proofErr w:type="gramEnd"/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F0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93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4AA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3FB4997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865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90C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B5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泸州启航科技有限公司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307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30D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C25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72B0522" w14:textId="77777777">
        <w:trPr>
          <w:trHeight w:val="97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2F25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78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191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泸州市盛世彩印刷有限公司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85F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ED5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DF7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E26545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D8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FB5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B1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泸州金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旭印务有限公司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3D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D39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A7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A76584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F2C5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7E3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F8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四川金鼎印业股份有限公司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A5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86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47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BB805B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601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07D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98B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四川鸿海印务有限公司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A2B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1E29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4C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F5A2C5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14A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238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A93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泸州盛佳包装有限公司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8AA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F7F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B92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6BB0D2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AB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09E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C5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祺欣伟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创商贸有限公司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5AE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C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其他类包装印刷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5E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ACE6A82" w14:textId="77777777">
        <w:trPr>
          <w:trHeight w:val="72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555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C8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F6F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泸州金鑫科技有限公司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4DC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A26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塑料彩印软包装印刷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5FA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8B4AEE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BDF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842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64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印务有限公司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C30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E6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DE0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38E03B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81A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CF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F72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四川宝晶玻璃有限责任公司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ED8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336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56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56A7F3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14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C80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86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泸州华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盛玻璃有限公司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BE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1C9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19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3FDBC2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F09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30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15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泸州成像通科技有限公司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2D9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2D8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电子工业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842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976360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78C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C89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FA4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海普智联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科技（泸州）有限公司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7E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41A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FB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7E1C38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33D6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4FB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21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四川泸州三溪酒厂有限公司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B17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1E4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FB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4DC170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799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634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61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四川省古蔺郎酒厂（泸州）有限公司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FC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3AC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98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60957C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AE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C1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8F2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泸州生源酒厂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AA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A5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5AF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AA1D49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94C2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4C8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F6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一圣鸿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00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0D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D8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CA8825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6938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786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D2A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广汉市蓝海世纪印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务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624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E8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AB1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24F1EA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66D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83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71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326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四川宏华电气有限责任公司广汉分公司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A5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600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1A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831CA0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1B9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EE3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413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四川利森建材集团有限公司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C72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347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水泥熟料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E17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020A68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5E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63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46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四川中烟工业有限责任公司什邡卷烟厂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C01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F6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77B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498357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721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CF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C1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四川恒德印务有限责任公司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B26F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5F8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纸制品包装印刷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734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1D9146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8A7A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37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BD2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四川美丰化工科技有限责任公司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08CB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肥料制造（除煤制氮肥）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B17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肥料制造（除煤制氮肥）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BE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7645AC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5A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2C6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22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四川安和精密电子电器股份有限公司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A94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774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0BD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A7F1B0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A463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F3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383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四川九州电子科技股份有限公司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EC7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9FD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082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68264F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CF1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45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86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四川虹新制冷科技有限公司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07E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B5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EA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D9DD8E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7B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DF4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FF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四川恒胜化工有限公司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5CC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EA4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974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60F1C68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0D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89F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99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三台县芦溪镇广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发万合页岩机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砖厂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62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ABB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烧结砖瓦制品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93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0E1F24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AE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33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遂宁市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C60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遂宁宽窄印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务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C1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EC9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包装印刷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BE5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79D14B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796B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6C1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遂宁市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4DE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四川省射洪川中建材有限公司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5C8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1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短流程钢铁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AC4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A1FBC5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F89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7F1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907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四川锦兴玻璃陶瓷有限公司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E96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6C9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919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392C22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A8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C8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A47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四川贵樽玻璃有限公司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50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742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637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87155A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E9BA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F3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812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四川观宇玻璃实业有限公司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FF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1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5A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3FB621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AC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0E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FC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四川德森玻璃有限公司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99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AB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58E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01657A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54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187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94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四川省隆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昌江龙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玻璃工业有限公司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A1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F2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48A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12E6B1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D26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65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511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内江蓝洋玻璃制品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A0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55D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日用玻璃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EFD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FF40E7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FBF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468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C48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巨腾（内江）资讯配件有限公司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F87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工业涂装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828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其他工业涂装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CBA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469520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B0A4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F7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609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内江市博威能源有限公司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1B7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焦化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1D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常规机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焦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1C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53B3F8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C9FB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4DF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90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威远永乐建筑工程有限公司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B08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F8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328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908673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0EE8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104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1B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12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威远县民顺建材有限公司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2D5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7D6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BCD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D4BC40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94C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3ED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2F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资中县万晟建材有限公司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85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D6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F7A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9417C7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B5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66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052D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磊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源建材有限公司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B47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C8B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EB8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4F5FCD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0E1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905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91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县双鸿建材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EBC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382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7B4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0FCFE0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4D2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B03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4E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恒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DB6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8B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F1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ADBC118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16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DCD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FD3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磊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泰建材有限公司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F9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7C7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EAA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6909C5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60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E3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7D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资中县兴隆街镇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光山弯白石厂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（普通合伙）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52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8F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020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82337D8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B8E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E2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87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资中县贵发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EAA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56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B994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24B678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1C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F7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58B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四川三帝新材料有限公司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25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陶瓷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062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建筑陶瓷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CE0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D0EABE3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25E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8E1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108A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黄老五食品股份有限公司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07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42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6E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1C6BE11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5083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183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490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四川久润泰科技有限公司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45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A17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BE1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637B32D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398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3E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9C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旭动保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生物科技有限公司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C75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20F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EC0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703F2F1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3BD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7E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799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内江市康龙饲料有限公司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A24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1A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DD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B5BD0E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FB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7E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F8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四川世纪百胜药业有限公司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EB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27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72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1E2391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9E4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4B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DF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四川汇宇制药股份有限公司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E32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8BE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58B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3FBB58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6244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16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606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四川恒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通动保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生物科技有限公司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553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34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740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2F4D264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35A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D1B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19B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四川梓橦宫药业股份有限公司（一期）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B4C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500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ABB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20EB6C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59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2C63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CB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内江华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润燃气有限公司经开区综合能源站（一期）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7F5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2D9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B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9F7A28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C1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C1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494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四川内江威宝食品有限公司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0A6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0B4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373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7B53DC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F5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53B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E9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内江市雄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烽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工贸有限公司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7DE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再生铜铝铅锌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24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再生锌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2E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08B4F8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0F7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958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129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乐山万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华禾香板业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E7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人造板制造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7E6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刨花板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C4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352878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7AAF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92C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1D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四川省中科乐美新材料有限公司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D5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石灰窑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78B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石灰窑工业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B2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30100EE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9F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96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7D5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乐山协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新能源科技有限公司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6D9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C3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95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7C55FC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7A3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98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24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四川永祥硅材料有限公司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76B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1A2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FA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820D94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7F0B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88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19B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四川德胜集团钒钛有限公司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9E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长流程联合钢铁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16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长流程钢铁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2A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BF5E75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C1F2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1B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DD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夹江县建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火砖业有限责任公司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0D5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砖瓦窑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66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烧结砖瓦制品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307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93D794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8278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5D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39F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四川筑美矿业有限公司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E501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矿石采选与石材加工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55A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矿石采选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80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D974753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521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6D48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3F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四川丝丽雅纤维科技有限公司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8BE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48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通用行业（非锅炉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94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040EF5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2B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1EC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E32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宜宾天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原锂电新材有限公司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020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8CE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1C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D361BC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192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BAC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B86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天宜锂业科创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76E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18B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C8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E355456" w14:textId="77777777">
        <w:trPr>
          <w:trHeight w:val="495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566C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E2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36B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屏山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天原钛业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80F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5A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E03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7CD7EF5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1288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BEB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7B6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四川普什醋酸纤维素有限责任公司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E63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C69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888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508008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6F62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7D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广安市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B19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四川科伦药业股份有限公司广安分公司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97D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FB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717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19A9FDE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603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8B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广安市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85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广安绿源循环科技有限公司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DB2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F28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22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4430FCE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0C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5B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广安市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F8D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四川金谷环保科技有限公司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1FB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E61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805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8FFE64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D53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EB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雅安市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DC1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雅化锂业（雅安）有限公司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507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通用行业（含工业锅炉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炉窑）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FD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通用行业（锅炉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窑炉）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9AB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008B221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E11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60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575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四川省飞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翎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防水科技有限公司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D25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防水建筑材料制造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F62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沥青类防水卷材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DF8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:rsidR="00B61A0F" w14:paraId="586E24A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6F9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68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EA3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成渝钒钛科技有限公司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B2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长流程联合钢铁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B18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长流程钢铁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A1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B-</w:t>
            </w:r>
          </w:p>
        </w:tc>
      </w:tr>
      <w:tr w:rsidR="00B61A0F" w14:paraId="3AEDD23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2109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26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98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四川南玻节能玻璃有限公司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42D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8AB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玻璃后加工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93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E94D55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ED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D62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952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四川省泰格玻璃制品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8E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223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玻璃后加工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603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DBE00E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C07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E50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056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建蓉成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建材成都有限公司煎茶分公司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21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618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D749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030305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34B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145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72E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9A0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成都安仁杰宸建材有限公司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BD1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EE9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361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BE67FF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BFE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E6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A13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成都绿艺商品混凝土有限公司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BCD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08E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51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BA05440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88B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837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03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成都市众恒伟业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建筑材料有限公司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E59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E4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35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0C70F3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EB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0D3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6BC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邛崃市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皓瑞商品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4E8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F1A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43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7B815BC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F9F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44C2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01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成都新顺业泡沫有限公司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9E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C25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47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0122016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C1B9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8FA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CA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四川南格尔生物科技有限公司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298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597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D9A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D6B576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EAE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0D2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C00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四川大圆新型节能建材有限公司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40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04A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544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0F6B2BF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07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7066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C09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成都明远泡沫塑料制品有限公司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EB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78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518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ED5AA8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A74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34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EB3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成都富维延锋彼欧汽车外饰有限公司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4E0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483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78D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F7DD3A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C79A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D4E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88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成都金发科技新材料有限公司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766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F0A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851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4744939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E1AD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799A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20F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中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顺洁柔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（四川）纸业有限公司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5FC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35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B2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42E4712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F67E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73B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FD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自贡市路通市政工程有限责任公司商品混凝土分公司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CF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EC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E941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3BE1021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B8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6CA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02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市瑞禾新材料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44F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DC3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84F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8D7539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922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E62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9B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荣县鼎泰建材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207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A54F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93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542843D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F9F6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10F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B99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荣县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荣州商品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C0E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0D7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A81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5DF6026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301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45D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0E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泸县国利彩釉玻璃有限公司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134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E7D0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玻璃后加工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825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39420AC3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E4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E74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4A7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泸州市三次元塑胶有限公司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2E6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A1A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606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542FE1F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AF4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523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175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四川宏航科技有限公司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246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403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30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9AC0B3D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D791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E49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32C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德阳盛晨新材料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CA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塑料人造革与合成革制造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DBC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聚氯乙烯人造革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7E4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3CFB32E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8170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2D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B9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绵阳高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新区科光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宏盛线缆有限责任公司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E2F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C8B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9DE8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5455EC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329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C72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绵阳市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56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四川环龙生活用品有限公司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8C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A0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5FC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5AF4060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104A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56A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735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威远盛祥复合材料有限公司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DA4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玻璃钢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BC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玻璃钢工业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D50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79C417F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8BD0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167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422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FFB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威远多维道路混凝土有限公司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69F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1C5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1A2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36A4478C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995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E0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6AD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威远鸿骏建材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0D9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849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79A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3A75E40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9A91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B7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CB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共华水泥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5B7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DD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ED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D13D182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F37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70B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6E8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威远县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浩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瑞建材有限公司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2A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F5E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A07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03BB0A6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6CD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AE2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E88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隆昌市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晟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光建筑材料有限责任公司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85A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D56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58D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5DB7B9CB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A99D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81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5E8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隆昌富晟商品混凝土有限公司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D7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737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21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6F09E5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986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AA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2B2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隆昌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市盛翔混凝土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813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92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9EA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DA56A49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6B7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977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902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威远县互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建材有限公司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7BB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C02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5E6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817F516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B2B1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F08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C5A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四川恒恩新材料科技有限公司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7F5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38FA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A40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76C7C73E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195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225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D6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隆昌宏顺塑料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模具有限公司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014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472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490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0519FE9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81B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54C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FD1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资中县高新塑料制品有限责任公司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D23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81C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35F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4C5E4F38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2FE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B83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1DD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峨眉山市城投商品混凝土有限公司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C75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E11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228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732667B7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E29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2F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F518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宜宾正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宏商品</w:t>
            </w:r>
            <w:proofErr w:type="gramEnd"/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混凝土有限公司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91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121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水泥制品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CAC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DE7D8E3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BF4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107C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1FC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四川明路纸业有限公司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71CE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DB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C9E3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1F9F1AC5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6AF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1C64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EF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宜宾纸业股份有限公司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9CD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125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纸浆制造与造纸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6CF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66DC233A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C5A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08C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CEB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四川天府江东科技有限公司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62CD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07A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29F9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02FF9031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45E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B277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3E05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四川省汪氏红色科技集团有限公司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27E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737B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塑料制品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9EFC0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  <w:tr w:rsidR="00B61A0F" w14:paraId="2BD343B4" w14:textId="77777777">
        <w:trPr>
          <w:trHeight w:val="480"/>
          <w:jc w:val="center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4972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633F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47A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老虎表面技术新材料（四川）有限公司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640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涂料制造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2746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粉末涂料制造工业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9441" w14:textId="77777777" w:rsidR="00B61A0F" w:rsidRDefault="003240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bidi="ar"/>
              </w:rPr>
              <w:t>绩效引领性</w:t>
            </w:r>
          </w:p>
        </w:tc>
      </w:tr>
    </w:tbl>
    <w:p w14:paraId="62D90BCF" w14:textId="77777777" w:rsidR="00B61A0F" w:rsidRDefault="003240C3">
      <w:pPr>
        <w:overflowPunct w:val="0"/>
        <w:topLinePunct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6DF9D" wp14:editId="0BDD5498">
                <wp:simplePos x="0" y="0"/>
                <wp:positionH relativeFrom="column">
                  <wp:posOffset>4746625</wp:posOffset>
                </wp:positionH>
                <wp:positionV relativeFrom="paragraph">
                  <wp:posOffset>8197215</wp:posOffset>
                </wp:positionV>
                <wp:extent cx="847725" cy="419100"/>
                <wp:effectExtent l="4445" t="5080" r="508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1B8D7" id="矩形 1" o:spid="_x0000_s1026" style="position:absolute;left:0;text-align:left;margin-left:373.75pt;margin-top:645.45pt;width:6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5c9gEAAPMDAAAOAAAAZHJzL2Uyb0RvYy54bWysU9tuEzEQfUfiHyy/k02ilrarbCpECC9c&#10;KhU+YOJL1pLtsWw3m3wNEm98BJ+D+I2OvWmg8FIh9sGy12fOnDkzXlzvnWU7FZNB3/HZZMqZ8gKl&#10;8duOf/60fnHJWcrgJVj0quMHlfj18vmzxRBaNccerVSREYlP7RA63ucc2qZJolcO0gSD8nSpMTrI&#10;dIzbRkYYiN3ZZj6dvmwGjDJEFCol+rsaL/my8mutRP6odVKZ2Y6TtlzXWNdNWZvlAtpthNAbcZQB&#10;/6DCgfGU9ES1ggzsLpq/qJwRERPqPBHoGtTaCFVroGpm0z+que0hqFoLmZPCyab0/2jFh91NZEZS&#10;7zjz4KhFP798+/H9K5sVb4aQWoLchpt4PCXass3wHiVB4S5jLXuvoyvlU0FsX909nNxV+8wE/bw8&#10;u7iYn3Mm6OpsdjWbVvcbaB+CQ0z5rULHyqbjkZpXyWH3LmVKT9AHSMmV0Bq5NtbWQ9xuXtvIdkCN&#10;Xtev6KeQRzDr2dDxq/OqA2jetIVMklwgB5Lf1nyPItLTiIuwFaR+FFAZxtlyJqviHbS9AvnGS5YP&#10;gazz9Bx4EeOU5Mwqej1lV5EZjH0KkqqznoosXSp9Gfu1QXmgHkWsw14ye3xFjdKmmljAI+QYSZNV&#10;jTq+gjK6v58r6tdbXd4DAAD//wMAUEsDBBQABgAIAAAAIQDsYU+z4QAAAA0BAAAPAAAAZHJzL2Rv&#10;d25yZXYueG1sTI87T8NAEIR7JP7DaZHoyDkhD9v4HEEwoqEIAfqNb7Et7mH5LonDr2epoNyZT7Mz&#10;xXq0RhxpCJ13CqaTBAS52uvONQre355uUhAhotNovCMFZwqwLi8vCsy1P7lXOu5iIzjEhRwVtDH2&#10;uZShbslimPieHHuffrAY+RwaqQc8cbg1cpYkS2mxc/yhxZ42LdVfu4NVsEV83H4/1/VDdX6ZV7T5&#10;qMgbpa6vxvs7EJHG+AfDb32uDiV32vuD00EYBav5asEoG7MsyUAwkqZTnrdn6XaxzECWhfy/ovwB&#10;AAD//wMAUEsBAi0AFAAGAAgAAAAhALaDOJL+AAAA4QEAABMAAAAAAAAAAAAAAAAAAAAAAFtDb250&#10;ZW50X1R5cGVzXS54bWxQSwECLQAUAAYACAAAACEAOP0h/9YAAACUAQAACwAAAAAAAAAAAAAAAAAv&#10;AQAAX3JlbHMvLnJlbHNQSwECLQAUAAYACAAAACEAAJ1OXPYBAADzAwAADgAAAAAAAAAAAAAAAAAu&#10;AgAAZHJzL2Uyb0RvYy54bWxQSwECLQAUAAYACAAAACEA7GFPs+EAAAANAQAADwAAAAAAAAAAAAAA&#10;AABQBAAAZHJzL2Rvd25yZXYueG1sUEsFBgAAAAAEAAQA8wAAAF4FAAAAAA==&#10;" strokecolor="white"/>
            </w:pict>
          </mc:Fallback>
        </mc:AlternateContent>
      </w:r>
    </w:p>
    <w:sectPr w:rsidR="00B61A0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BB76" w14:textId="77777777" w:rsidR="003240C3" w:rsidRDefault="003240C3">
      <w:pPr>
        <w:spacing w:line="240" w:lineRule="auto"/>
      </w:pPr>
      <w:r>
        <w:separator/>
      </w:r>
    </w:p>
  </w:endnote>
  <w:endnote w:type="continuationSeparator" w:id="0">
    <w:p w14:paraId="11337F41" w14:textId="77777777" w:rsidR="003240C3" w:rsidRDefault="00324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B346" w14:textId="77777777" w:rsidR="00B61A0F" w:rsidRDefault="003240C3">
    <w:pPr>
      <w:overflowPunct w:val="0"/>
      <w:autoSpaceDE w:val="0"/>
      <w:autoSpaceDN w:val="0"/>
      <w:adjustRightInd w:val="0"/>
      <w:ind w:leftChars="100" w:left="308" w:rightChars="100" w:right="308"/>
      <w:jc w:val="left"/>
      <w:textAlignment w:val="baseline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9E75" w14:textId="77777777" w:rsidR="00B61A0F" w:rsidRDefault="003240C3">
    <w:pPr>
      <w:overflowPunct w:val="0"/>
      <w:autoSpaceDE w:val="0"/>
      <w:autoSpaceDN w:val="0"/>
      <w:adjustRightInd w:val="0"/>
      <w:ind w:leftChars="100" w:left="308" w:rightChars="100" w:right="308"/>
      <w:jc w:val="right"/>
      <w:textAlignment w:val="baseline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15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2B57" w14:textId="77777777" w:rsidR="003240C3" w:rsidRDefault="003240C3">
      <w:pPr>
        <w:spacing w:line="240" w:lineRule="auto"/>
      </w:pPr>
      <w:r>
        <w:separator/>
      </w:r>
    </w:p>
  </w:footnote>
  <w:footnote w:type="continuationSeparator" w:id="0">
    <w:p w14:paraId="414EC8FA" w14:textId="77777777" w:rsidR="003240C3" w:rsidRDefault="00324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91F5" w14:textId="77777777" w:rsidR="00B61A0F" w:rsidRDefault="00B61A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ED60" w14:textId="77777777" w:rsidR="00B61A0F" w:rsidRDefault="00B61A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0"/>
  <w:drawingGridVerticalSpacing w:val="4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1C"/>
    <w:rsid w:val="B7FEBC17"/>
    <w:rsid w:val="0008291C"/>
    <w:rsid w:val="00257568"/>
    <w:rsid w:val="003240C3"/>
    <w:rsid w:val="007D032D"/>
    <w:rsid w:val="00883D33"/>
    <w:rsid w:val="00AC5A3F"/>
    <w:rsid w:val="00B46F1C"/>
    <w:rsid w:val="00B61A0F"/>
    <w:rsid w:val="2E4FE91D"/>
    <w:rsid w:val="7F99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E7668"/>
  <w15:docId w15:val="{5643DAB9-AACF-4ED3-A059-AE23479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tLeast"/>
      <w:jc w:val="both"/>
    </w:pPr>
    <w:rPr>
      <w:rFonts w:ascii="仿宋_GB2312" w:eastAsia="仿宋_GB2312" w:hAnsi="仿宋_GB2312" w:cs="仿宋_GB2312"/>
      <w:color w:val="000000"/>
      <w:spacing w:val="-6"/>
      <w:kern w:val="2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Salutation"/>
    <w:next w:val="a"/>
    <w:qFormat/>
    <w:pPr>
      <w:widowControl w:val="0"/>
      <w:spacing w:line="240" w:lineRule="atLeast"/>
      <w:jc w:val="both"/>
    </w:pPr>
    <w:rPr>
      <w:spacing w:val="-6"/>
      <w:kern w:val="2"/>
      <w:sz w:val="32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5">
    <w:name w:val="endnote text"/>
    <w:basedOn w:val="a"/>
    <w:link w:val="a6"/>
    <w:uiPriority w:val="99"/>
    <w:semiHidden/>
    <w:unhideWhenUsed/>
    <w:qFormat/>
    <w:pPr>
      <w:spacing w:line="240" w:lineRule="auto"/>
    </w:pPr>
    <w:rPr>
      <w:sz w:val="20"/>
    </w:rPr>
  </w:style>
  <w:style w:type="paragraph" w:styleId="a7">
    <w:name w:val="footer"/>
    <w:basedOn w:val="a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3">
    <w:name w:val="page number"/>
    <w:basedOn w:val="a0"/>
    <w:uiPriority w:val="99"/>
    <w:unhideWhenUsed/>
    <w:qFormat/>
  </w:style>
  <w:style w:type="character" w:styleId="af4">
    <w:name w:val="Hyperlink"/>
    <w:uiPriority w:val="99"/>
    <w:unhideWhenUsed/>
    <w:qFormat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table" w:customStyle="1" w:styleId="11">
    <w:name w:val="无格式表格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210">
    <w:name w:val="网格表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10">
    <w:name w:val="网格表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10">
    <w:name w:val="网格表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510">
    <w:name w:val="网格表 5 深色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61">
    <w:name w:val="网格表 6 彩色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71">
    <w:name w:val="网格表 7 彩色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111">
    <w:name w:val="清单表 1 浅色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11">
    <w:name w:val="清单表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311">
    <w:name w:val="清单表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">
    <w:name w:val="清单表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511">
    <w:name w:val="清单表 5 深色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610">
    <w:name w:val="清单表 6 彩色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710">
    <w:name w:val="清单表 7 彩色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paragraph" w:customStyle="1" w:styleId="TOC10">
    <w:name w:val="TOC 标题1"/>
    <w:uiPriority w:val="39"/>
    <w:unhideWhenUsed/>
    <w:qFormat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TOC111">
    <w:name w:val="TOC 标题111"/>
    <w:uiPriority w:val="39"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</w:style>
  <w:style w:type="character" w:customStyle="1" w:styleId="af0">
    <w:name w:val="标题 字符"/>
    <w:basedOn w:val="a0"/>
    <w:link w:val="af"/>
    <w:uiPriority w:val="10"/>
    <w:qFormat/>
    <w:rPr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sz w:val="24"/>
      <w:szCs w:val="24"/>
    </w:rPr>
  </w:style>
  <w:style w:type="paragraph" w:styleId="af8">
    <w:name w:val="Quote"/>
    <w:basedOn w:val="a"/>
    <w:next w:val="a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引用 字符"/>
    <w:link w:val="af8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明显引用 字符"/>
    <w:link w:val="af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qFormat/>
    <w:rPr>
      <w:sz w:val="18"/>
    </w:rPr>
  </w:style>
  <w:style w:type="character" w:customStyle="1" w:styleId="a6">
    <w:name w:val="尾注文本 字符"/>
    <w:link w:val="a5"/>
    <w:uiPriority w:val="99"/>
    <w:qFormat/>
    <w:rPr>
      <w:sz w:val="20"/>
    </w:rPr>
  </w:style>
  <w:style w:type="paragraph" w:customStyle="1" w:styleId="TOC11">
    <w:name w:val="TOC 标题11"/>
    <w:uiPriority w:val="39"/>
    <w:unhideWhenUsed/>
    <w:qFormat/>
  </w:style>
  <w:style w:type="character" w:customStyle="1" w:styleId="font81">
    <w:name w:val="font8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Pr>
      <w:rFonts w:ascii="等线" w:eastAsia="等线" w:hAnsi="等线" w:cs="等线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a9">
    <w:name w:val="页眉 字符"/>
    <w:basedOn w:val="a0"/>
    <w:link w:val="a8"/>
    <w:qFormat/>
    <w:rPr>
      <w:rFonts w:eastAsia="仿宋_GB2312"/>
      <w:spacing w:val="-6"/>
      <w:kern w:val="2"/>
      <w:sz w:val="18"/>
      <w:szCs w:val="18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2">
    <w:name w:val="font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附件n</dc:title>
  <dc:creator>Administrator</dc:creator>
  <cp:lastModifiedBy>王 建伏</cp:lastModifiedBy>
  <cp:revision>2</cp:revision>
  <dcterms:created xsi:type="dcterms:W3CDTF">2026-06-10T02:24:00Z</dcterms:created>
  <dcterms:modified xsi:type="dcterms:W3CDTF">2026-06-10T02:24:00Z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D7BA40352ABAFFEB4536266AEC8B6068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